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Narrative Idea - Parent Meeting to Discuss Aid Award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Tuition exists so we can operate our school. Tuition is the major source of revenue and helps us pay teacher salaries, purchase curriculum, pay utilities, and all the other things needed to run the school. We understand that the full tuition amount may not be affordable for a family. We do everything we can to provide need-based financial assistance using the resources we have.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Sending your child to Catholic school is an investment in their education and their spiritual development. With any investment, there is a financial sacrifice. We do our best to help families afford Catholic education.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am happy to share that we are able to offer your family [amount] for the year. [Present award letter]. This brings the total tuition amount to [amount].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[School] values our parent partnerships. Just as you expect us to be accountable and communicate, we expect all families to do the same. We have outlined in the policy book the expectations of both parents and students of [School]. This includes the code of conduct, parental involvement, and financial responsibility.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All families, both those receiving and not receiving financial assistance, are required to complete the [tuition agreement policy and/or award letter]. In signing this, you are agreeing to:</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[Information on tuition payment process]</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[Information on tuition deadlines]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[Information on late fees]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[Information on steps taken when tuition is not being paid / implications]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[ETC}</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are incredibly excited to have your family [join or continue] at [School]! </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